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1F4370" w:rsidRPr="00FA3D18" w:rsidRDefault="001F4370" w:rsidP="001F4370">
      <w:pPr>
        <w:ind w:left="142"/>
        <w:rPr>
          <w:b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B5515D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7C7945">
        <w:rPr>
          <w:b/>
          <w:sz w:val="28"/>
          <w:szCs w:val="28"/>
        </w:rPr>
        <w:t xml:space="preserve"> </w:t>
      </w:r>
      <w:r w:rsidR="001F4370" w:rsidRPr="00B5515D">
        <w:rPr>
          <w:sz w:val="28"/>
          <w:szCs w:val="28"/>
        </w:rPr>
        <w:t>«Основы органолептического анализа пищев</w:t>
      </w:r>
      <w:r w:rsidR="00DE1641" w:rsidRPr="00B5515D">
        <w:rPr>
          <w:sz w:val="28"/>
          <w:szCs w:val="28"/>
        </w:rPr>
        <w:t>ых</w:t>
      </w:r>
      <w:r w:rsidR="001F4370" w:rsidRPr="00B5515D">
        <w:rPr>
          <w:sz w:val="28"/>
          <w:szCs w:val="28"/>
        </w:rPr>
        <w:t xml:space="preserve"> продук</w:t>
      </w:r>
      <w:r w:rsidR="00DE1641" w:rsidRPr="00B5515D">
        <w:rPr>
          <w:sz w:val="28"/>
          <w:szCs w:val="28"/>
        </w:rPr>
        <w:t>тов</w:t>
      </w:r>
      <w:r w:rsidR="001F4370" w:rsidRPr="00B5515D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 xml:space="preserve">название дополнительной профессиональной программы повышения квалификации </w:t>
      </w:r>
      <w:bookmarkStart w:id="0" w:name="_GoBack"/>
      <w:bookmarkEnd w:id="0"/>
      <w:r w:rsidRPr="00A31A21">
        <w:rPr>
          <w:sz w:val="22"/>
          <w:szCs w:val="28"/>
        </w:rPr>
        <w:t>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</w:p>
    <w:p w:rsidR="001F4370" w:rsidRDefault="001F4370" w:rsidP="001F4370">
      <w:pPr>
        <w:widowControl w:val="0"/>
        <w:autoSpaceDE w:val="0"/>
        <w:autoSpaceDN w:val="0"/>
        <w:adjustRightInd w:val="0"/>
        <w:jc w:val="both"/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1F4370" w:rsidRPr="002E37D4" w:rsidTr="00292A42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п/п</w:t>
            </w:r>
          </w:p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1F4370" w:rsidRPr="002E37D4" w:rsidTr="00292A42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Исследование порогов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A31A21" w:rsidP="00292A42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A21">
              <w:rPr>
                <w:sz w:val="22"/>
                <w:szCs w:val="26"/>
              </w:rPr>
              <w:t>Собеседование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41C7" w:rsidRDefault="004A41C7" w:rsidP="00A31A21">
      <w:pPr>
        <w:tabs>
          <w:tab w:val="left" w:pos="10490"/>
        </w:tabs>
        <w:ind w:left="426" w:hanging="1277"/>
        <w:jc w:val="both"/>
      </w:pPr>
    </w:p>
    <w:sectPr w:rsidR="004A41C7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0"/>
    <w:rsid w:val="000C08E8"/>
    <w:rsid w:val="0014101F"/>
    <w:rsid w:val="001F4370"/>
    <w:rsid w:val="00291B63"/>
    <w:rsid w:val="003C779E"/>
    <w:rsid w:val="004A41C7"/>
    <w:rsid w:val="007C7945"/>
    <w:rsid w:val="00A31A21"/>
    <w:rsid w:val="00A52AA5"/>
    <w:rsid w:val="00B5515D"/>
    <w:rsid w:val="00CA266B"/>
    <w:rsid w:val="00DE1641"/>
    <w:rsid w:val="00E6560C"/>
    <w:rsid w:val="00F1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366E-D200-404F-95EF-D027F08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4</cp:revision>
  <dcterms:created xsi:type="dcterms:W3CDTF">2017-12-27T12:31:00Z</dcterms:created>
  <dcterms:modified xsi:type="dcterms:W3CDTF">2017-12-27T13:03:00Z</dcterms:modified>
</cp:coreProperties>
</file>